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F1" w:rsidRDefault="002B21F1"/>
    <w:p w:rsidR="00F51FEB" w:rsidRDefault="00F51FEB"/>
    <w:p w:rsidR="005A4829" w:rsidRPr="00AE51C1" w:rsidRDefault="00F51FEB">
      <w:pPr>
        <w:rPr>
          <w:b/>
        </w:rPr>
      </w:pPr>
      <w:r w:rsidRPr="00AE51C1">
        <w:rPr>
          <w:b/>
          <w:sz w:val="40"/>
          <w:szCs w:val="40"/>
        </w:rPr>
        <w:t>Pollution Incident Response Management Plan</w:t>
      </w:r>
    </w:p>
    <w:p w:rsidR="00F51FEB" w:rsidRPr="00AE51C1" w:rsidRDefault="00F51FEB">
      <w:pPr>
        <w:rPr>
          <w:b/>
          <w:sz w:val="32"/>
          <w:szCs w:val="32"/>
        </w:rPr>
      </w:pPr>
      <w:r w:rsidRPr="00AE51C1">
        <w:rPr>
          <w:b/>
        </w:rPr>
        <w:t xml:space="preserve"> </w:t>
      </w:r>
      <w:r w:rsidRPr="00AE51C1">
        <w:rPr>
          <w:b/>
          <w:sz w:val="32"/>
          <w:szCs w:val="32"/>
        </w:rPr>
        <w:t xml:space="preserve">Newcastle Rod Mill, Contistretch, </w:t>
      </w:r>
      <w:r w:rsidR="004B485C" w:rsidRPr="00AE51C1">
        <w:rPr>
          <w:b/>
          <w:sz w:val="32"/>
          <w:szCs w:val="32"/>
        </w:rPr>
        <w:t xml:space="preserve">and NDC </w:t>
      </w:r>
      <w:r w:rsidRPr="00AE51C1">
        <w:rPr>
          <w:b/>
          <w:sz w:val="32"/>
          <w:szCs w:val="32"/>
        </w:rPr>
        <w:t xml:space="preserve"> </w:t>
      </w:r>
    </w:p>
    <w:p w:rsidR="00B93DB8" w:rsidRDefault="00B93DB8"/>
    <w:p w:rsidR="00E61520" w:rsidRDefault="00E61520"/>
    <w:p w:rsidR="00E61520" w:rsidRDefault="00E61520">
      <w:bookmarkStart w:id="0" w:name="_GoBack"/>
      <w:bookmarkEnd w:id="0"/>
    </w:p>
    <w:p w:rsidR="00E61520" w:rsidRDefault="00E61520"/>
    <w:p w:rsidR="00B93DB8" w:rsidRDefault="00F51FEB">
      <w:r>
        <w:t xml:space="preserve"> </w:t>
      </w:r>
      <w:r w:rsidRPr="00AE51C1">
        <w:rPr>
          <w:b/>
          <w:sz w:val="40"/>
          <w:szCs w:val="40"/>
        </w:rPr>
        <w:t>Annex 1</w:t>
      </w:r>
      <w:r w:rsidRPr="00B93DB8">
        <w:rPr>
          <w:sz w:val="40"/>
          <w:szCs w:val="40"/>
        </w:rPr>
        <w:t xml:space="preserve"> – Publically available Information</w:t>
      </w:r>
      <w:r>
        <w:t xml:space="preserve"> </w:t>
      </w:r>
    </w:p>
    <w:p w:rsidR="00F51FEB" w:rsidRDefault="00F51FEB">
      <w:r>
        <w:t>This Annex has been prepared for the purposes of online publication of requirements relating to the site Pollution Incident Response Management Plan. It contains a direct reproduction of content drawn from the Pollution Incident Response Management Plan though has been modified to exclude personal information within the meaning of the Privacy and Personal Information Act 1998.</w:t>
      </w:r>
    </w:p>
    <w:p w:rsidR="004B485C" w:rsidRDefault="004B485C"/>
    <w:p w:rsidR="004B485C" w:rsidRDefault="004B485C"/>
    <w:p w:rsidR="00F51FEB" w:rsidRDefault="00F51FEB"/>
    <w:p w:rsidR="004B485C" w:rsidRDefault="004B485C">
      <w:pPr>
        <w:rPr>
          <w:b/>
          <w:sz w:val="32"/>
          <w:szCs w:val="32"/>
        </w:rPr>
      </w:pPr>
    </w:p>
    <w:p w:rsidR="004B485C" w:rsidRDefault="004B485C">
      <w:pPr>
        <w:rPr>
          <w:b/>
          <w:sz w:val="32"/>
          <w:szCs w:val="32"/>
        </w:rPr>
      </w:pPr>
    </w:p>
    <w:p w:rsidR="004B485C" w:rsidRDefault="004B485C">
      <w:pPr>
        <w:rPr>
          <w:b/>
          <w:sz w:val="32"/>
          <w:szCs w:val="32"/>
        </w:rPr>
      </w:pPr>
    </w:p>
    <w:p w:rsidR="004B485C" w:rsidRDefault="004B485C">
      <w:pPr>
        <w:rPr>
          <w:b/>
          <w:sz w:val="32"/>
          <w:szCs w:val="32"/>
        </w:rPr>
      </w:pPr>
    </w:p>
    <w:p w:rsidR="004B485C" w:rsidRDefault="004B485C">
      <w:pPr>
        <w:rPr>
          <w:b/>
          <w:sz w:val="32"/>
          <w:szCs w:val="32"/>
        </w:rPr>
      </w:pPr>
    </w:p>
    <w:p w:rsidR="004B485C" w:rsidRDefault="004B485C">
      <w:pPr>
        <w:rPr>
          <w:b/>
          <w:sz w:val="32"/>
          <w:szCs w:val="32"/>
        </w:rPr>
      </w:pPr>
    </w:p>
    <w:p w:rsidR="004B485C" w:rsidRDefault="004B485C">
      <w:pPr>
        <w:rPr>
          <w:b/>
          <w:sz w:val="32"/>
          <w:szCs w:val="32"/>
        </w:rPr>
      </w:pPr>
    </w:p>
    <w:p w:rsidR="00B93DB8" w:rsidRPr="00AE51C1" w:rsidRDefault="00F51FEB">
      <w:pPr>
        <w:rPr>
          <w:b/>
          <w:sz w:val="36"/>
          <w:szCs w:val="36"/>
        </w:rPr>
      </w:pPr>
      <w:r w:rsidRPr="00AE51C1">
        <w:rPr>
          <w:b/>
          <w:sz w:val="36"/>
          <w:szCs w:val="36"/>
        </w:rPr>
        <w:lastRenderedPageBreak/>
        <w:t xml:space="preserve">Contacting Relevant Authorities to Notify a Pollution Incident </w:t>
      </w:r>
    </w:p>
    <w:p w:rsidR="00F51FEB" w:rsidRDefault="00F51FEB">
      <w:r>
        <w:t xml:space="preserve">Only complete Step 1 followed by Step 2 if there is an immediate threat to human health or property. If not, complete Step 2 only. All agencies in Step 2 must be contacted, regardless of incident type. For example, Fire and Rescue must be contacted even if there is no fire. </w:t>
      </w:r>
    </w:p>
    <w:p w:rsidR="00F51FEB" w:rsidRDefault="00F51FEB">
      <w:r w:rsidRPr="00B93DB8">
        <w:rPr>
          <w:b/>
        </w:rPr>
        <w:t>Step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165"/>
        <w:gridCol w:w="1237"/>
        <w:gridCol w:w="322"/>
        <w:gridCol w:w="1238"/>
        <w:gridCol w:w="321"/>
        <w:gridCol w:w="1560"/>
      </w:tblGrid>
      <w:tr w:rsidR="00F51FEB" w:rsidTr="004B485C">
        <w:trPr>
          <w:trHeight w:val="427"/>
        </w:trPr>
        <w:tc>
          <w:tcPr>
            <w:tcW w:w="9498" w:type="dxa"/>
            <w:gridSpan w:val="7"/>
            <w:tcBorders>
              <w:top w:val="single" w:sz="4" w:space="0" w:color="auto"/>
              <w:left w:val="single" w:sz="4" w:space="0" w:color="auto"/>
              <w:bottom w:val="single" w:sz="4" w:space="0" w:color="auto"/>
              <w:right w:val="single" w:sz="4" w:space="0" w:color="auto"/>
            </w:tcBorders>
            <w:vAlign w:val="center"/>
          </w:tcPr>
          <w:p w:rsidR="00F51FEB" w:rsidRPr="004B485C" w:rsidRDefault="00F51FEB" w:rsidP="00F51FEB">
            <w:pPr>
              <w:spacing w:after="0"/>
              <w:jc w:val="center"/>
              <w:rPr>
                <w:rFonts w:cstheme="minorHAnsi"/>
              </w:rPr>
            </w:pPr>
            <w:r w:rsidRPr="004B485C">
              <w:rPr>
                <w:rFonts w:cstheme="minorHAnsi"/>
                <w:b/>
                <w:bCs/>
              </w:rPr>
              <w:t>Notification Record</w:t>
            </w:r>
          </w:p>
        </w:tc>
      </w:tr>
      <w:tr w:rsidR="00F51FEB" w:rsidTr="004B485C">
        <w:trPr>
          <w:trHeight w:val="427"/>
        </w:trPr>
        <w:tc>
          <w:tcPr>
            <w:tcW w:w="265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after="0"/>
              <w:rPr>
                <w:rFonts w:cstheme="minorHAnsi"/>
                <w:b/>
                <w:bCs/>
              </w:rPr>
            </w:pPr>
            <w:r w:rsidRPr="004B485C">
              <w:rPr>
                <w:rFonts w:cstheme="minorHAnsi"/>
                <w:b/>
                <w:bCs/>
              </w:rPr>
              <w:t>External Body</w:t>
            </w:r>
          </w:p>
        </w:tc>
        <w:tc>
          <w:tcPr>
            <w:tcW w:w="216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after="0"/>
              <w:rPr>
                <w:rFonts w:cstheme="minorHAnsi"/>
                <w:b/>
                <w:bCs/>
              </w:rPr>
            </w:pPr>
            <w:r w:rsidRPr="004B485C">
              <w:rPr>
                <w:rFonts w:cstheme="minorHAnsi"/>
                <w:b/>
                <w:bCs/>
              </w:rPr>
              <w:t>Phone Contact Details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after="0"/>
              <w:rPr>
                <w:rFonts w:cstheme="minorHAnsi"/>
              </w:rPr>
            </w:pPr>
            <w:r w:rsidRPr="004B485C">
              <w:rPr>
                <w:rFonts w:cstheme="minorHAnsi"/>
              </w:rPr>
              <w:t xml:space="preserve">TIME / DATE </w:t>
            </w:r>
          </w:p>
          <w:p w:rsidR="00F51FEB" w:rsidRPr="004B485C" w:rsidRDefault="00F51FEB">
            <w:pPr>
              <w:spacing w:after="0"/>
              <w:rPr>
                <w:rFonts w:cstheme="minorHAnsi"/>
                <w:b/>
                <w:bCs/>
              </w:rPr>
            </w:pPr>
            <w:r w:rsidRPr="004B485C">
              <w:rPr>
                <w:rFonts w:cstheme="minorHAnsi"/>
              </w:rPr>
              <w:t>(of notification)</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after="0"/>
              <w:rPr>
                <w:rFonts w:cstheme="minorHAnsi"/>
              </w:rPr>
            </w:pPr>
            <w:r w:rsidRPr="004B485C">
              <w:rPr>
                <w:rFonts w:cstheme="minorHAnsi"/>
              </w:rPr>
              <w:t>NAME</w:t>
            </w:r>
          </w:p>
          <w:p w:rsidR="00F51FEB" w:rsidRPr="004B485C" w:rsidRDefault="00F51FEB">
            <w:pPr>
              <w:spacing w:after="0"/>
              <w:rPr>
                <w:rFonts w:cstheme="minorHAnsi"/>
                <w:b/>
                <w:bCs/>
              </w:rPr>
            </w:pPr>
            <w:r w:rsidRPr="004B485C">
              <w:rPr>
                <w:rFonts w:cstheme="minorHAnsi"/>
              </w:rPr>
              <w:t>(Person Notified)</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after="0"/>
              <w:rPr>
                <w:rFonts w:cstheme="minorHAnsi"/>
                <w:b/>
                <w:bCs/>
              </w:rPr>
            </w:pPr>
            <w:r w:rsidRPr="004B485C">
              <w:rPr>
                <w:rFonts w:cstheme="minorHAnsi"/>
              </w:rPr>
              <w:t>Initial Advice / Comment</w:t>
            </w:r>
          </w:p>
        </w:tc>
      </w:tr>
      <w:tr w:rsidR="00F51FEB" w:rsidTr="004B485C">
        <w:tc>
          <w:tcPr>
            <w:tcW w:w="265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rPr>
                <w:rFonts w:cstheme="minorHAnsi"/>
                <w:b/>
                <w:bCs/>
              </w:rPr>
            </w:pPr>
            <w:r w:rsidRPr="004B485C">
              <w:rPr>
                <w:rFonts w:cstheme="minorHAnsi"/>
                <w:b/>
                <w:bCs/>
              </w:rPr>
              <w:t>1. Emergency Services</w:t>
            </w:r>
          </w:p>
          <w:p w:rsidR="00F51FEB" w:rsidRPr="004B485C" w:rsidRDefault="00F51FEB">
            <w:pPr>
              <w:spacing w:before="120" w:after="120"/>
              <w:rPr>
                <w:rFonts w:cstheme="minorHAnsi"/>
              </w:rPr>
            </w:pPr>
            <w:r w:rsidRPr="004B485C">
              <w:rPr>
                <w:rFonts w:cstheme="minorHAnsi"/>
              </w:rPr>
              <w:t>(Fire and Rescue, Police, Ambulance Services)</w:t>
            </w:r>
          </w:p>
        </w:tc>
        <w:tc>
          <w:tcPr>
            <w:tcW w:w="216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rPr>
                <w:rFonts w:cstheme="minorHAnsi"/>
                <w:b/>
                <w:bCs/>
              </w:rPr>
            </w:pPr>
            <w:r w:rsidRPr="004B485C">
              <w:rPr>
                <w:rFonts w:cstheme="minorHAnsi"/>
                <w:b/>
                <w:bCs/>
              </w:rPr>
              <w:t>000</w:t>
            </w:r>
          </w:p>
          <w:p w:rsidR="00F51FEB" w:rsidRPr="004B485C" w:rsidRDefault="00F51FEB">
            <w:pPr>
              <w:spacing w:before="120" w:after="120"/>
              <w:rPr>
                <w:rFonts w:cstheme="minorHAnsi"/>
                <w:i/>
                <w:iCs/>
              </w:rPr>
            </w:pPr>
            <w:r w:rsidRPr="004B485C">
              <w:rPr>
                <w:rFonts w:cstheme="minorHAnsi"/>
                <w:i/>
                <w:iCs/>
                <w:u w:val="single"/>
              </w:rPr>
              <w:t>Only</w:t>
            </w:r>
            <w:r w:rsidRPr="004B485C">
              <w:rPr>
                <w:rFonts w:cstheme="minorHAnsi"/>
                <w:i/>
                <w:iCs/>
              </w:rPr>
              <w:t xml:space="preserve"> call 000 first if there is an immediate threat to human health or property.</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b/>
                <w:bCs/>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r>
      <w:tr w:rsidR="00F51FEB" w:rsidTr="004B485C">
        <w:trPr>
          <w:trHeight w:val="431"/>
        </w:trPr>
        <w:tc>
          <w:tcPr>
            <w:tcW w:w="9498" w:type="dxa"/>
            <w:gridSpan w:val="7"/>
            <w:tcBorders>
              <w:top w:val="single" w:sz="4" w:space="0" w:color="auto"/>
              <w:left w:val="nil"/>
              <w:bottom w:val="single" w:sz="4" w:space="0" w:color="auto"/>
              <w:right w:val="nil"/>
            </w:tcBorders>
            <w:vAlign w:val="center"/>
            <w:hideMark/>
          </w:tcPr>
          <w:p w:rsidR="004B485C" w:rsidRDefault="004B485C">
            <w:pPr>
              <w:spacing w:before="120" w:after="60"/>
              <w:rPr>
                <w:rFonts w:ascii="Arial Narrow" w:hAnsi="Arial Narrow"/>
                <w:b/>
                <w:sz w:val="20"/>
                <w:szCs w:val="20"/>
                <w:u w:val="single"/>
              </w:rPr>
            </w:pPr>
          </w:p>
          <w:p w:rsidR="00F51FEB" w:rsidRPr="004B485C" w:rsidRDefault="004B485C" w:rsidP="004B485C">
            <w:pPr>
              <w:spacing w:before="120" w:after="60"/>
              <w:rPr>
                <w:rFonts w:cstheme="minorHAnsi"/>
              </w:rPr>
            </w:pPr>
            <w:r w:rsidRPr="004B485C">
              <w:rPr>
                <w:rFonts w:cstheme="minorHAnsi"/>
                <w:b/>
                <w:u w:val="single"/>
              </w:rPr>
              <w:t>Step</w:t>
            </w:r>
            <w:r w:rsidR="00F51FEB" w:rsidRPr="004B485C">
              <w:rPr>
                <w:rFonts w:cstheme="minorHAnsi"/>
                <w:b/>
                <w:u w:val="single"/>
              </w:rPr>
              <w:t xml:space="preserve"> 2</w:t>
            </w:r>
            <w:r w:rsidR="00F51FEB" w:rsidRPr="004B485C">
              <w:rPr>
                <w:rFonts w:cstheme="minorHAnsi"/>
              </w:rPr>
              <w:t xml:space="preserve"> - Proceed with the following notifications </w:t>
            </w:r>
            <w:r w:rsidR="00F51FEB" w:rsidRPr="004B485C">
              <w:rPr>
                <w:rFonts w:cstheme="minorHAnsi"/>
                <w:b/>
                <w:u w:val="single"/>
              </w:rPr>
              <w:t xml:space="preserve">in the order provided. </w:t>
            </w:r>
          </w:p>
        </w:tc>
      </w:tr>
      <w:tr w:rsidR="00F51FEB" w:rsidTr="004B485C">
        <w:tc>
          <w:tcPr>
            <w:tcW w:w="265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rPr>
                <w:rFonts w:cstheme="minorHAnsi"/>
                <w:b/>
                <w:bCs/>
              </w:rPr>
            </w:pPr>
            <w:r w:rsidRPr="004B485C">
              <w:rPr>
                <w:rFonts w:cstheme="minorHAnsi"/>
                <w:b/>
                <w:bCs/>
              </w:rPr>
              <w:t>2.EPA</w:t>
            </w:r>
          </w:p>
          <w:p w:rsidR="00F51FEB" w:rsidRPr="004B485C" w:rsidRDefault="00F51FEB">
            <w:pPr>
              <w:spacing w:before="120" w:after="120"/>
              <w:rPr>
                <w:rFonts w:cstheme="minorHAnsi"/>
              </w:rPr>
            </w:pPr>
            <w:r w:rsidRPr="004B485C">
              <w:rPr>
                <w:rFonts w:cstheme="minorHAnsi"/>
                <w:bCs/>
                <w:i/>
              </w:rPr>
              <w:t>For NRM quote Licence 11149</w:t>
            </w:r>
          </w:p>
        </w:tc>
        <w:tc>
          <w:tcPr>
            <w:tcW w:w="216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bCs/>
                <w:i/>
              </w:rPr>
            </w:pPr>
            <w:r w:rsidRPr="004B485C">
              <w:rPr>
                <w:rFonts w:cstheme="minorHAnsi"/>
                <w:b/>
                <w:bCs/>
              </w:rPr>
              <w:t>131 555</w:t>
            </w:r>
          </w:p>
        </w:tc>
        <w:tc>
          <w:tcPr>
            <w:tcW w:w="1237"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r>
      <w:tr w:rsidR="00F51FEB" w:rsidTr="004B485C">
        <w:tc>
          <w:tcPr>
            <w:tcW w:w="265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rPr>
                <w:rFonts w:cstheme="minorHAnsi"/>
                <w:b/>
                <w:bCs/>
              </w:rPr>
            </w:pPr>
            <w:r w:rsidRPr="004B485C">
              <w:rPr>
                <w:rFonts w:cstheme="minorHAnsi"/>
                <w:b/>
                <w:bCs/>
              </w:rPr>
              <w:t>3. The Ministry of Health</w:t>
            </w:r>
          </w:p>
          <w:p w:rsidR="00F51FEB" w:rsidRPr="004B485C" w:rsidRDefault="00F51FEB">
            <w:pPr>
              <w:spacing w:before="120" w:after="120"/>
              <w:rPr>
                <w:rFonts w:cstheme="minorHAnsi"/>
              </w:rPr>
            </w:pPr>
            <w:r w:rsidRPr="004B485C">
              <w:rPr>
                <w:rFonts w:cstheme="minorHAnsi"/>
              </w:rPr>
              <w:t>(via the local public health unit)</w:t>
            </w:r>
          </w:p>
        </w:tc>
        <w:tc>
          <w:tcPr>
            <w:tcW w:w="216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b/>
              </w:rPr>
            </w:pPr>
            <w:r w:rsidRPr="004B485C">
              <w:rPr>
                <w:rFonts w:cstheme="minorHAnsi"/>
                <w:b/>
              </w:rPr>
              <w:t>For NRM 4924 6477</w:t>
            </w:r>
          </w:p>
        </w:tc>
        <w:tc>
          <w:tcPr>
            <w:tcW w:w="1237"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r>
      <w:tr w:rsidR="00F51FEB" w:rsidTr="004B485C">
        <w:tc>
          <w:tcPr>
            <w:tcW w:w="265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b/>
                <w:bCs/>
              </w:rPr>
            </w:pPr>
            <w:r w:rsidRPr="004B485C">
              <w:rPr>
                <w:rFonts w:cstheme="minorHAnsi"/>
                <w:b/>
                <w:bCs/>
              </w:rPr>
              <w:t xml:space="preserve">4. The </w:t>
            </w:r>
            <w:r w:rsidR="004B485C" w:rsidRPr="004B485C">
              <w:rPr>
                <w:rFonts w:cstheme="minorHAnsi"/>
                <w:b/>
                <w:bCs/>
              </w:rPr>
              <w:t>Work Cover</w:t>
            </w:r>
            <w:r w:rsidRPr="004B485C">
              <w:rPr>
                <w:rFonts w:cstheme="minorHAnsi"/>
                <w:b/>
                <w:bCs/>
              </w:rPr>
              <w:t xml:space="preserve"> Authority</w:t>
            </w:r>
          </w:p>
        </w:tc>
        <w:tc>
          <w:tcPr>
            <w:tcW w:w="216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b/>
                <w:bCs/>
              </w:rPr>
            </w:pPr>
            <w:r w:rsidRPr="004B485C">
              <w:rPr>
                <w:rFonts w:cstheme="minorHAnsi"/>
                <w:b/>
                <w:bCs/>
              </w:rPr>
              <w:t>13 10 50</w:t>
            </w:r>
          </w:p>
        </w:tc>
        <w:tc>
          <w:tcPr>
            <w:tcW w:w="1237"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r>
      <w:tr w:rsidR="00F51FEB" w:rsidTr="004B485C">
        <w:tc>
          <w:tcPr>
            <w:tcW w:w="265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rPr>
                <w:rFonts w:cstheme="minorHAnsi"/>
                <w:b/>
                <w:bCs/>
              </w:rPr>
            </w:pPr>
            <w:r w:rsidRPr="004B485C">
              <w:rPr>
                <w:rFonts w:cstheme="minorHAnsi"/>
                <w:b/>
                <w:bCs/>
              </w:rPr>
              <w:t>5. The Local Authority</w:t>
            </w:r>
          </w:p>
          <w:p w:rsidR="00F51FEB" w:rsidRPr="004B485C" w:rsidRDefault="00F51FEB">
            <w:pPr>
              <w:spacing w:before="120" w:after="120"/>
              <w:rPr>
                <w:rFonts w:cstheme="minorHAnsi"/>
              </w:rPr>
            </w:pPr>
            <w:r w:rsidRPr="004B485C">
              <w:rPr>
                <w:rFonts w:cstheme="minorHAnsi"/>
              </w:rPr>
              <w:t>(Local Council)</w:t>
            </w:r>
          </w:p>
        </w:tc>
        <w:tc>
          <w:tcPr>
            <w:tcW w:w="216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b/>
              </w:rPr>
            </w:pPr>
            <w:r w:rsidRPr="004B485C">
              <w:rPr>
                <w:rFonts w:cstheme="minorHAnsi"/>
                <w:b/>
              </w:rPr>
              <w:t>For NRM 4974 2000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u w:val="single"/>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r>
      <w:tr w:rsidR="00F51FEB" w:rsidTr="004B485C">
        <w:tc>
          <w:tcPr>
            <w:tcW w:w="265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b/>
                <w:bCs/>
              </w:rPr>
            </w:pPr>
            <w:r w:rsidRPr="004B485C">
              <w:rPr>
                <w:rFonts w:cstheme="minorHAnsi"/>
                <w:b/>
                <w:bCs/>
              </w:rPr>
              <w:t>6. Fire and Rescue NSW</w:t>
            </w:r>
          </w:p>
        </w:tc>
        <w:tc>
          <w:tcPr>
            <w:tcW w:w="216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b/>
                <w:bCs/>
              </w:rPr>
            </w:pPr>
            <w:r w:rsidRPr="004B485C">
              <w:rPr>
                <w:rFonts w:cstheme="minorHAnsi"/>
                <w:b/>
                <w:bCs/>
              </w:rPr>
              <w:t>1300 729 579</w:t>
            </w:r>
          </w:p>
        </w:tc>
        <w:tc>
          <w:tcPr>
            <w:tcW w:w="1237"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u w:val="single"/>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r>
      <w:tr w:rsidR="00F51FEB" w:rsidTr="004B485C">
        <w:tc>
          <w:tcPr>
            <w:tcW w:w="265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b/>
                <w:bCs/>
              </w:rPr>
            </w:pPr>
            <w:r w:rsidRPr="004B485C">
              <w:rPr>
                <w:rFonts w:cstheme="minorHAnsi"/>
                <w:b/>
                <w:bCs/>
              </w:rPr>
              <w:t>7. OneSteel Site Security</w:t>
            </w:r>
          </w:p>
        </w:tc>
        <w:tc>
          <w:tcPr>
            <w:tcW w:w="2165"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b/>
                <w:bCs/>
              </w:rPr>
            </w:pPr>
            <w:r w:rsidRPr="004B485C">
              <w:rPr>
                <w:rFonts w:cstheme="minorHAnsi"/>
                <w:b/>
                <w:bCs/>
              </w:rPr>
              <w:t>For NRM 4999</w:t>
            </w:r>
          </w:p>
        </w:tc>
        <w:tc>
          <w:tcPr>
            <w:tcW w:w="1237" w:type="dxa"/>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u w:val="single"/>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F51FEB" w:rsidRPr="004B485C" w:rsidRDefault="00F51FEB">
            <w:pPr>
              <w:spacing w:before="120" w:after="120"/>
              <w:rPr>
                <w:rFonts w:cstheme="minorHAnsi"/>
              </w:rPr>
            </w:pPr>
            <w:r w:rsidRPr="004B485C">
              <w:rPr>
                <w:rFonts w:cstheme="minorHAnsi"/>
                <w:bCs/>
              </w:rPr>
              <w:fldChar w:fldCharType="begin">
                <w:ffData>
                  <w:name w:val="Text9"/>
                  <w:enabled/>
                  <w:calcOnExit w:val="0"/>
                  <w:textInput/>
                </w:ffData>
              </w:fldChar>
            </w:r>
            <w:r w:rsidRPr="004B485C">
              <w:rPr>
                <w:rFonts w:cstheme="minorHAnsi"/>
                <w:bCs/>
              </w:rPr>
              <w:instrText xml:space="preserve"> FORMTEXT </w:instrText>
            </w:r>
            <w:r w:rsidRPr="004B485C">
              <w:rPr>
                <w:rFonts w:cstheme="minorHAnsi"/>
                <w:bCs/>
              </w:rPr>
            </w:r>
            <w:r w:rsidRPr="004B485C">
              <w:rPr>
                <w:rFonts w:cstheme="minorHAnsi"/>
                <w:bCs/>
              </w:rPr>
              <w:fldChar w:fldCharType="separate"/>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eastAsia="Arial Unicode MS" w:cstheme="minorHAnsi"/>
                <w:bCs/>
                <w:noProof/>
              </w:rPr>
              <w:t> </w:t>
            </w:r>
            <w:r w:rsidRPr="004B485C">
              <w:rPr>
                <w:rFonts w:cstheme="minorHAnsi"/>
                <w:bCs/>
              </w:rPr>
              <w:fldChar w:fldCharType="end"/>
            </w:r>
          </w:p>
        </w:tc>
      </w:tr>
    </w:tbl>
    <w:p w:rsidR="00F51FEB" w:rsidRDefault="00F51FEB"/>
    <w:p w:rsidR="00713FF6" w:rsidRDefault="00713FF6"/>
    <w:p w:rsidR="00713FF6" w:rsidRDefault="00713FF6" w:rsidP="00444939">
      <w:pPr>
        <w:ind w:left="-567" w:right="-23"/>
      </w:pPr>
    </w:p>
    <w:p w:rsidR="00463409" w:rsidRPr="00AE51C1" w:rsidRDefault="00463409" w:rsidP="00463409">
      <w:pPr>
        <w:spacing w:beforeLines="40" w:before="96" w:afterLines="40" w:after="96" w:line="240" w:lineRule="auto"/>
        <w:rPr>
          <w:rFonts w:ascii="Arial" w:eastAsia="Times New Roman" w:hAnsi="Arial" w:cs="Arial"/>
          <w:b/>
          <w:sz w:val="40"/>
          <w:szCs w:val="40"/>
        </w:rPr>
      </w:pPr>
      <w:r w:rsidRPr="00AE51C1">
        <w:rPr>
          <w:b/>
          <w:sz w:val="40"/>
          <w:szCs w:val="40"/>
        </w:rPr>
        <w:t xml:space="preserve">2.6.1 Notification of Immediate Neighbours </w:t>
      </w:r>
      <w:r w:rsidRPr="00AE51C1">
        <w:rPr>
          <w:rFonts w:ascii="Arial" w:eastAsia="Times New Roman" w:hAnsi="Arial" w:cs="Arial"/>
          <w:b/>
          <w:sz w:val="40"/>
          <w:szCs w:val="40"/>
        </w:rPr>
        <w:t xml:space="preserve">(&lt;500m) </w:t>
      </w:r>
    </w:p>
    <w:p w:rsidR="00463409" w:rsidRDefault="00463409"/>
    <w:tbl>
      <w:tblPr>
        <w:tblW w:w="9464" w:type="dxa"/>
        <w:tblLook w:val="04A0" w:firstRow="1" w:lastRow="0" w:firstColumn="1" w:lastColumn="0" w:noHBand="0" w:noVBand="1"/>
      </w:tblPr>
      <w:tblGrid>
        <w:gridCol w:w="9464"/>
      </w:tblGrid>
      <w:tr w:rsidR="00713FF6" w:rsidRPr="00713FF6" w:rsidTr="00506B8C">
        <w:trPr>
          <w:trHeight w:val="7645"/>
        </w:trPr>
        <w:tc>
          <w:tcPr>
            <w:tcW w:w="9464" w:type="dxa"/>
            <w:shd w:val="clear" w:color="auto" w:fill="auto"/>
          </w:tcPr>
          <w:p w:rsidR="00463409" w:rsidRDefault="00463409" w:rsidP="00713FF6">
            <w:pPr>
              <w:spacing w:beforeLines="40" w:before="96" w:afterLines="40" w:after="96" w:line="240" w:lineRule="auto"/>
            </w:pPr>
            <w:r>
              <w:t xml:space="preserve">Implement this section where a need to notify has been determined and: </w:t>
            </w:r>
          </w:p>
          <w:p w:rsidR="00463409" w:rsidRDefault="00463409" w:rsidP="00463409">
            <w:pPr>
              <w:spacing w:beforeLines="40" w:before="96" w:afterLines="40" w:after="96" w:line="240" w:lineRule="auto"/>
              <w:ind w:left="426"/>
            </w:pPr>
            <w:r>
              <w:t>• Potential effects of the pollution incident are considered to be localised to immediate site neighbours; or</w:t>
            </w:r>
          </w:p>
          <w:p w:rsidR="00463409" w:rsidRDefault="00463409" w:rsidP="00463409">
            <w:pPr>
              <w:spacing w:beforeLines="40" w:before="96" w:afterLines="40" w:after="96" w:line="240" w:lineRule="auto"/>
              <w:ind w:left="426"/>
            </w:pPr>
            <w:r>
              <w:t xml:space="preserve"> • Potential effects of the pollution incident are considered to be widespread and applicable to the general community. </w:t>
            </w:r>
          </w:p>
          <w:p w:rsidR="00463409" w:rsidRDefault="00463409" w:rsidP="00713FF6">
            <w:pPr>
              <w:spacing w:beforeLines="40" w:before="96" w:afterLines="40" w:after="96" w:line="240" w:lineRule="auto"/>
            </w:pPr>
            <w:r>
              <w:t xml:space="preserve">The </w:t>
            </w:r>
            <w:r w:rsidR="004B485C">
              <w:t>site</w:t>
            </w:r>
            <w:r>
              <w:t xml:space="preserve"> is situated adjacent to the Hunter River at the north end of Ingall Street in Mayfield. There are no residential receptors or sensitive premise uses (such as schools or hospitals) within a five hundred metre radius of the site. </w:t>
            </w:r>
          </w:p>
          <w:p w:rsidR="00463409" w:rsidRDefault="00463409" w:rsidP="00713FF6">
            <w:pPr>
              <w:spacing w:beforeLines="40" w:before="96" w:afterLines="40" w:after="96" w:line="240" w:lineRule="auto"/>
            </w:pPr>
          </w:p>
          <w:p w:rsidR="00463409" w:rsidRDefault="00463409" w:rsidP="00713FF6">
            <w:pPr>
              <w:spacing w:beforeLines="40" w:before="96" w:afterLines="40" w:after="96" w:line="240" w:lineRule="auto"/>
            </w:pPr>
            <w:r>
              <w:t xml:space="preserve"> Table 3 lists nearby land uses which lie within a nominal five hundred metre radius of the site. In the event of a pollution incident occurring, consideration needs to be given to notifying the premise occupiers where it is deemed that the pollution incident may pose those premises or the occupiers at risk. Any notification made should seek to provide where possible detail regarding any possible controls that may assist such as closing windows and doors. </w:t>
            </w:r>
          </w:p>
          <w:p w:rsidR="00463409" w:rsidRPr="00DB33BC" w:rsidRDefault="00463409" w:rsidP="00713FF6">
            <w:pPr>
              <w:spacing w:beforeLines="40" w:before="96" w:afterLines="40" w:after="96" w:line="240" w:lineRule="auto"/>
              <w:rPr>
                <w:rFonts w:ascii="Arial" w:eastAsia="Times New Roman" w:hAnsi="Arial" w:cs="Arial"/>
                <w:b/>
                <w:sz w:val="18"/>
              </w:rPr>
            </w:pPr>
            <w:r w:rsidRPr="00463409">
              <w:rPr>
                <w:b/>
              </w:rPr>
              <w:t>Table 3</w:t>
            </w:r>
            <w:r>
              <w:t xml:space="preserve"> </w:t>
            </w:r>
            <w:r w:rsidRPr="00DB33BC">
              <w:rPr>
                <w:b/>
              </w:rPr>
              <w:t>– Land uses with a 500m radius of the site.</w:t>
            </w:r>
          </w:p>
          <w:p w:rsidR="00463409" w:rsidRPr="00713FF6" w:rsidRDefault="00463409" w:rsidP="00713FF6">
            <w:pPr>
              <w:spacing w:beforeLines="40" w:before="96" w:afterLines="40" w:after="96" w:line="240" w:lineRule="auto"/>
              <w:rPr>
                <w:rFonts w:ascii="Arial" w:eastAsia="Times New Roman" w:hAnsi="Arial" w:cs="Arial"/>
                <w:sz w:val="18"/>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4497"/>
              <w:gridCol w:w="3544"/>
            </w:tblGrid>
            <w:tr w:rsidR="00713FF6" w:rsidRPr="00713FF6" w:rsidTr="00713FF6">
              <w:trPr>
                <w:jc w:val="center"/>
              </w:trPr>
              <w:tc>
                <w:tcPr>
                  <w:tcW w:w="1150" w:type="dxa"/>
                  <w:shd w:val="clear" w:color="auto" w:fill="auto"/>
                </w:tcPr>
                <w:p w:rsidR="00713FF6" w:rsidRPr="00713FF6" w:rsidRDefault="00713FF6" w:rsidP="00713FF6">
                  <w:pPr>
                    <w:spacing w:after="0" w:line="240" w:lineRule="auto"/>
                    <w:rPr>
                      <w:rFonts w:eastAsia="Times New Roman" w:cstheme="minorHAnsi"/>
                      <w:b/>
                      <w:sz w:val="18"/>
                      <w:szCs w:val="20"/>
                    </w:rPr>
                  </w:pPr>
                  <w:r w:rsidRPr="00713FF6">
                    <w:rPr>
                      <w:rFonts w:eastAsia="Times New Roman" w:cstheme="minorHAnsi"/>
                      <w:b/>
                      <w:sz w:val="18"/>
                      <w:szCs w:val="20"/>
                    </w:rPr>
                    <w:t>Direction</w:t>
                  </w:r>
                </w:p>
              </w:tc>
              <w:tc>
                <w:tcPr>
                  <w:tcW w:w="4497" w:type="dxa"/>
                  <w:shd w:val="clear" w:color="auto" w:fill="auto"/>
                </w:tcPr>
                <w:p w:rsidR="00713FF6" w:rsidRPr="00713FF6" w:rsidRDefault="00713FF6" w:rsidP="00713FF6">
                  <w:pPr>
                    <w:spacing w:after="0" w:line="240" w:lineRule="auto"/>
                    <w:rPr>
                      <w:rFonts w:eastAsia="Times New Roman" w:cstheme="minorHAnsi"/>
                      <w:b/>
                      <w:sz w:val="18"/>
                      <w:szCs w:val="20"/>
                    </w:rPr>
                  </w:pPr>
                  <w:r w:rsidRPr="00713FF6">
                    <w:rPr>
                      <w:rFonts w:eastAsia="Times New Roman" w:cstheme="minorHAnsi"/>
                      <w:b/>
                      <w:sz w:val="18"/>
                      <w:szCs w:val="20"/>
                    </w:rPr>
                    <w:t>Occupier</w:t>
                  </w:r>
                </w:p>
              </w:tc>
              <w:tc>
                <w:tcPr>
                  <w:tcW w:w="3544" w:type="dxa"/>
                  <w:shd w:val="clear" w:color="auto" w:fill="auto"/>
                </w:tcPr>
                <w:p w:rsidR="00713FF6" w:rsidRPr="00713FF6" w:rsidRDefault="00713FF6" w:rsidP="00713FF6">
                  <w:pPr>
                    <w:spacing w:after="0" w:line="240" w:lineRule="auto"/>
                    <w:rPr>
                      <w:rFonts w:eastAsia="Times New Roman" w:cstheme="minorHAnsi"/>
                      <w:b/>
                      <w:sz w:val="18"/>
                      <w:szCs w:val="20"/>
                    </w:rPr>
                  </w:pPr>
                  <w:r w:rsidRPr="00713FF6">
                    <w:rPr>
                      <w:rFonts w:eastAsia="Times New Roman" w:cstheme="minorHAnsi"/>
                      <w:b/>
                      <w:sz w:val="18"/>
                      <w:szCs w:val="20"/>
                    </w:rPr>
                    <w:t>Contact Details</w:t>
                  </w:r>
                </w:p>
              </w:tc>
            </w:tr>
            <w:tr w:rsidR="00713FF6" w:rsidRPr="00713FF6" w:rsidTr="00713FF6">
              <w:trPr>
                <w:jc w:val="center"/>
              </w:trPr>
              <w:tc>
                <w:tcPr>
                  <w:tcW w:w="1150"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North</w:t>
                  </w: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Newcastle Coal Infrastructure Group</w:t>
                  </w:r>
                </w:p>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(Grey coloured Coal Loader)</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1800 016 304</w:t>
                  </w:r>
                </w:p>
              </w:tc>
            </w:tr>
            <w:tr w:rsidR="00713FF6" w:rsidRPr="00713FF6" w:rsidTr="00713FF6">
              <w:trPr>
                <w:jc w:val="center"/>
              </w:trPr>
              <w:tc>
                <w:tcPr>
                  <w:tcW w:w="1150" w:type="dxa"/>
                  <w:vMerge w:val="restart"/>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Northeast</w:t>
                  </w: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Hunter River - Newcastle Port Corporation</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18"/>
                    </w:rPr>
                  </w:pPr>
                  <w:r w:rsidRPr="00713FF6">
                    <w:rPr>
                      <w:rFonts w:eastAsia="Times New Roman" w:cstheme="minorHAnsi"/>
                      <w:color w:val="231F20"/>
                      <w:spacing w:val="-1"/>
                      <w:sz w:val="18"/>
                      <w:szCs w:val="18"/>
                    </w:rPr>
                    <w:t>49293890</w:t>
                  </w:r>
                </w:p>
              </w:tc>
            </w:tr>
            <w:tr w:rsidR="00713FF6" w:rsidRPr="00713FF6" w:rsidTr="00713FF6">
              <w:trPr>
                <w:jc w:val="center"/>
              </w:trPr>
              <w:tc>
                <w:tcPr>
                  <w:tcW w:w="1150" w:type="dxa"/>
                  <w:vMerge/>
                  <w:shd w:val="clear" w:color="auto" w:fill="auto"/>
                </w:tcPr>
                <w:p w:rsidR="00713FF6" w:rsidRPr="00713FF6" w:rsidRDefault="00713FF6" w:rsidP="00713FF6">
                  <w:pPr>
                    <w:spacing w:after="0" w:line="240" w:lineRule="auto"/>
                    <w:rPr>
                      <w:rFonts w:eastAsia="Times New Roman" w:cstheme="minorHAnsi"/>
                      <w:sz w:val="18"/>
                      <w:szCs w:val="20"/>
                    </w:rPr>
                  </w:pP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Port Waratah Coal Services</w:t>
                  </w:r>
                </w:p>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(Yellow coloured Coal Loader)</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4907 2361</w:t>
                  </w:r>
                </w:p>
              </w:tc>
            </w:tr>
            <w:tr w:rsidR="00713FF6" w:rsidRPr="00713FF6" w:rsidTr="00713FF6">
              <w:trPr>
                <w:jc w:val="center"/>
              </w:trPr>
              <w:tc>
                <w:tcPr>
                  <w:tcW w:w="1150" w:type="dxa"/>
                  <w:vMerge w:val="restart"/>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East</w:t>
                  </w:r>
                </w:p>
              </w:tc>
              <w:tc>
                <w:tcPr>
                  <w:tcW w:w="4497" w:type="dxa"/>
                  <w:tcBorders>
                    <w:bottom w:val="single" w:sz="4" w:space="0" w:color="auto"/>
                  </w:tcBorders>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Hunter River - Newcastle Port Corporation</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18"/>
                    </w:rPr>
                  </w:pPr>
                  <w:r w:rsidRPr="00713FF6">
                    <w:rPr>
                      <w:rFonts w:eastAsia="Times New Roman" w:cstheme="minorHAnsi"/>
                      <w:color w:val="231F20"/>
                      <w:spacing w:val="-1"/>
                      <w:sz w:val="18"/>
                      <w:szCs w:val="18"/>
                    </w:rPr>
                    <w:t>49293890</w:t>
                  </w:r>
                </w:p>
              </w:tc>
            </w:tr>
            <w:tr w:rsidR="00713FF6" w:rsidRPr="00713FF6" w:rsidTr="00713FF6">
              <w:trPr>
                <w:jc w:val="center"/>
              </w:trPr>
              <w:tc>
                <w:tcPr>
                  <w:tcW w:w="1150" w:type="dxa"/>
                  <w:vMerge/>
                  <w:shd w:val="clear" w:color="auto" w:fill="auto"/>
                </w:tcPr>
                <w:p w:rsidR="00713FF6" w:rsidRPr="00713FF6" w:rsidRDefault="00713FF6" w:rsidP="00713FF6">
                  <w:pPr>
                    <w:spacing w:after="0" w:line="240" w:lineRule="auto"/>
                    <w:rPr>
                      <w:rFonts w:eastAsia="Times New Roman" w:cstheme="minorHAnsi"/>
                      <w:sz w:val="18"/>
                      <w:szCs w:val="20"/>
                    </w:rPr>
                  </w:pPr>
                </w:p>
              </w:tc>
              <w:tc>
                <w:tcPr>
                  <w:tcW w:w="4497" w:type="dxa"/>
                  <w:tcBorders>
                    <w:bottom w:val="single" w:sz="4" w:space="0" w:color="auto"/>
                  </w:tcBorders>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Stolthaven Terminals</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0418736974</w:t>
                  </w:r>
                </w:p>
              </w:tc>
            </w:tr>
            <w:tr w:rsidR="00713FF6" w:rsidRPr="00713FF6" w:rsidTr="00713FF6">
              <w:trPr>
                <w:jc w:val="center"/>
              </w:trPr>
              <w:tc>
                <w:tcPr>
                  <w:tcW w:w="1150" w:type="dxa"/>
                  <w:vMerge w:val="restart"/>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Southeast</w:t>
                  </w: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Vacant Land – Hunter Development Corporation</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0249042750</w:t>
                  </w:r>
                </w:p>
              </w:tc>
            </w:tr>
            <w:tr w:rsidR="00713FF6" w:rsidRPr="00713FF6" w:rsidTr="00713FF6">
              <w:trPr>
                <w:jc w:val="center"/>
              </w:trPr>
              <w:tc>
                <w:tcPr>
                  <w:tcW w:w="1150" w:type="dxa"/>
                  <w:vMerge/>
                  <w:shd w:val="clear" w:color="auto" w:fill="auto"/>
                </w:tcPr>
                <w:p w:rsidR="00713FF6" w:rsidRPr="00713FF6" w:rsidRDefault="00713FF6" w:rsidP="00713FF6">
                  <w:pPr>
                    <w:spacing w:after="0" w:line="240" w:lineRule="auto"/>
                    <w:rPr>
                      <w:rFonts w:eastAsia="Times New Roman" w:cstheme="minorHAnsi"/>
                      <w:sz w:val="18"/>
                      <w:szCs w:val="20"/>
                    </w:rPr>
                  </w:pP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Vacant Land – Newcastle Port Corporation</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18"/>
                    </w:rPr>
                  </w:pPr>
                  <w:r w:rsidRPr="00713FF6">
                    <w:rPr>
                      <w:rFonts w:eastAsia="Times New Roman" w:cstheme="minorHAnsi"/>
                      <w:color w:val="231F20"/>
                      <w:spacing w:val="-1"/>
                      <w:sz w:val="18"/>
                      <w:szCs w:val="18"/>
                    </w:rPr>
                    <w:t>49293890</w:t>
                  </w:r>
                </w:p>
              </w:tc>
            </w:tr>
            <w:tr w:rsidR="00713FF6" w:rsidRPr="00713FF6" w:rsidTr="00713FF6">
              <w:trPr>
                <w:jc w:val="center"/>
              </w:trPr>
              <w:tc>
                <w:tcPr>
                  <w:tcW w:w="1150" w:type="dxa"/>
                  <w:vMerge/>
                  <w:shd w:val="clear" w:color="auto" w:fill="auto"/>
                </w:tcPr>
                <w:p w:rsidR="00713FF6" w:rsidRPr="00713FF6" w:rsidRDefault="00713FF6" w:rsidP="00713FF6">
                  <w:pPr>
                    <w:spacing w:after="0" w:line="240" w:lineRule="auto"/>
                    <w:rPr>
                      <w:rFonts w:eastAsia="Times New Roman" w:cstheme="minorHAnsi"/>
                      <w:sz w:val="18"/>
                      <w:szCs w:val="20"/>
                    </w:rPr>
                  </w:pP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Industrial Channel - Newcastle Port Corporation</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18"/>
                    </w:rPr>
                  </w:pPr>
                  <w:r w:rsidRPr="00713FF6">
                    <w:rPr>
                      <w:rFonts w:eastAsia="Times New Roman" w:cstheme="minorHAnsi"/>
                      <w:color w:val="231F20"/>
                      <w:spacing w:val="-1"/>
                      <w:sz w:val="18"/>
                      <w:szCs w:val="18"/>
                    </w:rPr>
                    <w:t>49293890</w:t>
                  </w:r>
                </w:p>
              </w:tc>
            </w:tr>
            <w:tr w:rsidR="00713FF6" w:rsidRPr="00713FF6" w:rsidTr="00713FF6">
              <w:trPr>
                <w:jc w:val="center"/>
              </w:trPr>
              <w:tc>
                <w:tcPr>
                  <w:tcW w:w="1150" w:type="dxa"/>
                  <w:vMerge w:val="restart"/>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South</w:t>
                  </w: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OneSteel Mayfield (including Wire, Contistretch and Industrial Park)</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OneSteel Ingall St Security 4935 4999</w:t>
                  </w:r>
                </w:p>
              </w:tc>
            </w:tr>
            <w:tr w:rsidR="00713FF6" w:rsidRPr="00713FF6" w:rsidTr="00713FF6">
              <w:trPr>
                <w:jc w:val="center"/>
              </w:trPr>
              <w:tc>
                <w:tcPr>
                  <w:tcW w:w="1150" w:type="dxa"/>
                  <w:vMerge/>
                  <w:shd w:val="clear" w:color="auto" w:fill="auto"/>
                </w:tcPr>
                <w:p w:rsidR="00713FF6" w:rsidRPr="00713FF6" w:rsidRDefault="00713FF6" w:rsidP="00713FF6">
                  <w:pPr>
                    <w:spacing w:after="0" w:line="240" w:lineRule="auto"/>
                    <w:rPr>
                      <w:rFonts w:eastAsia="Times New Roman" w:cstheme="minorHAnsi"/>
                      <w:sz w:val="18"/>
                      <w:szCs w:val="20"/>
                    </w:rPr>
                  </w:pP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Industrial Channel - Newcastle Port Corporation</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18"/>
                    </w:rPr>
                  </w:pPr>
                  <w:r w:rsidRPr="00713FF6">
                    <w:rPr>
                      <w:rFonts w:eastAsia="Times New Roman" w:cstheme="minorHAnsi"/>
                      <w:color w:val="231F20"/>
                      <w:spacing w:val="-1"/>
                      <w:sz w:val="18"/>
                      <w:szCs w:val="18"/>
                    </w:rPr>
                    <w:t>49293890</w:t>
                  </w:r>
                </w:p>
              </w:tc>
            </w:tr>
            <w:tr w:rsidR="00713FF6" w:rsidRPr="00713FF6" w:rsidTr="00713FF6">
              <w:trPr>
                <w:jc w:val="center"/>
              </w:trPr>
              <w:tc>
                <w:tcPr>
                  <w:tcW w:w="1150" w:type="dxa"/>
                  <w:vMerge/>
                  <w:shd w:val="clear" w:color="auto" w:fill="auto"/>
                </w:tcPr>
                <w:p w:rsidR="00713FF6" w:rsidRPr="00713FF6" w:rsidRDefault="00713FF6" w:rsidP="00713FF6">
                  <w:pPr>
                    <w:spacing w:after="0" w:line="240" w:lineRule="auto"/>
                    <w:rPr>
                      <w:rFonts w:eastAsia="Times New Roman" w:cstheme="minorHAnsi"/>
                      <w:sz w:val="18"/>
                      <w:szCs w:val="20"/>
                    </w:rPr>
                  </w:pP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Mayfield East Public School</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4968 1495</w:t>
                  </w:r>
                </w:p>
              </w:tc>
            </w:tr>
            <w:tr w:rsidR="00713FF6" w:rsidRPr="00713FF6" w:rsidTr="00713FF6">
              <w:trPr>
                <w:jc w:val="center"/>
              </w:trPr>
              <w:tc>
                <w:tcPr>
                  <w:tcW w:w="1150"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Southwest</w:t>
                  </w: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OneSteel ATM Newcastle</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OneSteel ATM Security 4935 5739</w:t>
                  </w:r>
                </w:p>
              </w:tc>
            </w:tr>
            <w:tr w:rsidR="00713FF6" w:rsidRPr="00713FF6" w:rsidTr="00713FF6">
              <w:trPr>
                <w:jc w:val="center"/>
              </w:trPr>
              <w:tc>
                <w:tcPr>
                  <w:tcW w:w="1150"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West</w:t>
                  </w: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OneSteel NDC</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Ingall St Security 4935 4999</w:t>
                  </w:r>
                </w:p>
              </w:tc>
            </w:tr>
            <w:tr w:rsidR="00713FF6" w:rsidRPr="00713FF6" w:rsidTr="00713FF6">
              <w:trPr>
                <w:jc w:val="center"/>
              </w:trPr>
              <w:tc>
                <w:tcPr>
                  <w:tcW w:w="1150" w:type="dxa"/>
                  <w:vMerge w:val="restart"/>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Northwest</w:t>
                  </w: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Hunter River - Newcastle Port Corporation</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18"/>
                    </w:rPr>
                  </w:pPr>
                  <w:r w:rsidRPr="00713FF6">
                    <w:rPr>
                      <w:rFonts w:eastAsia="Times New Roman" w:cstheme="minorHAnsi"/>
                      <w:color w:val="231F20"/>
                      <w:spacing w:val="-1"/>
                      <w:sz w:val="18"/>
                      <w:szCs w:val="18"/>
                    </w:rPr>
                    <w:t>49293890</w:t>
                  </w:r>
                </w:p>
              </w:tc>
            </w:tr>
            <w:tr w:rsidR="00713FF6" w:rsidRPr="00713FF6" w:rsidTr="00713FF6">
              <w:trPr>
                <w:jc w:val="center"/>
              </w:trPr>
              <w:tc>
                <w:tcPr>
                  <w:tcW w:w="1150" w:type="dxa"/>
                  <w:vMerge/>
                  <w:shd w:val="clear" w:color="auto" w:fill="auto"/>
                </w:tcPr>
                <w:p w:rsidR="00713FF6" w:rsidRPr="00713FF6" w:rsidRDefault="00713FF6" w:rsidP="00713FF6">
                  <w:pPr>
                    <w:spacing w:after="0" w:line="240" w:lineRule="auto"/>
                    <w:rPr>
                      <w:rFonts w:eastAsia="Times New Roman" w:cstheme="minorHAnsi"/>
                      <w:sz w:val="18"/>
                      <w:szCs w:val="20"/>
                    </w:rPr>
                  </w:pPr>
                </w:p>
              </w:tc>
              <w:tc>
                <w:tcPr>
                  <w:tcW w:w="4497"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OneSteel NDC</w:t>
                  </w:r>
                </w:p>
              </w:tc>
              <w:tc>
                <w:tcPr>
                  <w:tcW w:w="3544" w:type="dxa"/>
                  <w:shd w:val="clear" w:color="auto" w:fill="auto"/>
                </w:tcPr>
                <w:p w:rsidR="00713FF6" w:rsidRPr="00713FF6" w:rsidRDefault="00713FF6" w:rsidP="00713FF6">
                  <w:pPr>
                    <w:spacing w:after="0" w:line="240" w:lineRule="auto"/>
                    <w:rPr>
                      <w:rFonts w:eastAsia="Times New Roman" w:cstheme="minorHAnsi"/>
                      <w:sz w:val="18"/>
                      <w:szCs w:val="20"/>
                    </w:rPr>
                  </w:pPr>
                  <w:r w:rsidRPr="00713FF6">
                    <w:rPr>
                      <w:rFonts w:eastAsia="Times New Roman" w:cstheme="minorHAnsi"/>
                      <w:sz w:val="18"/>
                      <w:szCs w:val="20"/>
                    </w:rPr>
                    <w:t>Ingall St Security 4935 4999</w:t>
                  </w:r>
                </w:p>
              </w:tc>
            </w:tr>
          </w:tbl>
          <w:p w:rsidR="00713FF6" w:rsidRPr="00713FF6" w:rsidRDefault="00713FF6" w:rsidP="00713FF6">
            <w:pPr>
              <w:spacing w:beforeLines="40" w:before="96" w:afterLines="40" w:after="96" w:line="240" w:lineRule="auto"/>
              <w:rPr>
                <w:rFonts w:ascii="Arial" w:eastAsia="Times New Roman" w:hAnsi="Arial" w:cs="Arial"/>
                <w:b/>
                <w:bCs/>
                <w:iCs/>
                <w:sz w:val="18"/>
                <w:szCs w:val="28"/>
              </w:rPr>
            </w:pPr>
          </w:p>
        </w:tc>
      </w:tr>
    </w:tbl>
    <w:p w:rsidR="00F51FEB" w:rsidRDefault="00F51FEB"/>
    <w:p w:rsidR="00463409" w:rsidRDefault="00463409">
      <w:pPr>
        <w:rPr>
          <w:b/>
          <w:sz w:val="40"/>
          <w:szCs w:val="40"/>
        </w:rPr>
      </w:pPr>
    </w:p>
    <w:p w:rsidR="00463409" w:rsidRDefault="00463409">
      <w:pPr>
        <w:rPr>
          <w:b/>
          <w:sz w:val="40"/>
          <w:szCs w:val="40"/>
        </w:rPr>
      </w:pPr>
    </w:p>
    <w:p w:rsidR="00463409" w:rsidRDefault="00463409">
      <w:pPr>
        <w:rPr>
          <w:b/>
          <w:sz w:val="40"/>
          <w:szCs w:val="40"/>
        </w:rPr>
      </w:pPr>
    </w:p>
    <w:p w:rsidR="00463409" w:rsidRDefault="00463409">
      <w:pPr>
        <w:rPr>
          <w:b/>
          <w:sz w:val="40"/>
          <w:szCs w:val="40"/>
        </w:rPr>
      </w:pPr>
      <w:r w:rsidRPr="00463409">
        <w:rPr>
          <w:b/>
          <w:sz w:val="40"/>
          <w:szCs w:val="40"/>
        </w:rPr>
        <w:t xml:space="preserve">2.6.2     Notification of Community </w:t>
      </w:r>
    </w:p>
    <w:p w:rsidR="007369A3" w:rsidRDefault="00463409">
      <w:r w:rsidRPr="00463409">
        <w:t xml:space="preserve">Implement </w:t>
      </w:r>
      <w:r>
        <w:t xml:space="preserve">this section where a need to notify has been determined and: </w:t>
      </w:r>
    </w:p>
    <w:p w:rsidR="007369A3" w:rsidRDefault="00463409">
      <w:r>
        <w:t xml:space="preserve">• </w:t>
      </w:r>
      <w:r w:rsidR="007369A3">
        <w:t>Potential</w:t>
      </w:r>
      <w:r>
        <w:t xml:space="preserve"> effects of the pollution incident are considered to be widespread and applicable to the general community. </w:t>
      </w:r>
    </w:p>
    <w:p w:rsidR="007369A3" w:rsidRDefault="00463409">
      <w:r>
        <w:t xml:space="preserve">OneSteel has determined that the method to be deployed for the notification of the local community where required is the Emergency Alert system described in the ‘The City of Newcastle – Newcastle Local Disaster Plan (Displan) (2012)’. </w:t>
      </w:r>
    </w:p>
    <w:p w:rsidR="007369A3" w:rsidRDefault="00463409">
      <w:r>
        <w:t xml:space="preserve">Operation of the Emergency Alert system is managed by the local combat agency controller. Other methods of community notification may also be employed based upon an assessment of the circumstances by the combat agency controller. </w:t>
      </w:r>
    </w:p>
    <w:p w:rsidR="00F51FEB" w:rsidRDefault="00463409">
      <w:r>
        <w:t>OneSteel has an obligation to identify relevant pollution incidents to the combat agency controller where those incidents pose, or may pose, an environment impact to the local community.</w:t>
      </w:r>
    </w:p>
    <w:p w:rsidR="00F51FEB" w:rsidRDefault="00F51FEB"/>
    <w:sectPr w:rsidR="00F51FEB" w:rsidSect="00444939">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31" w:rsidRDefault="005D2D31" w:rsidP="00463409">
      <w:pPr>
        <w:spacing w:after="0" w:line="240" w:lineRule="auto"/>
      </w:pPr>
      <w:r>
        <w:separator/>
      </w:r>
    </w:p>
  </w:endnote>
  <w:endnote w:type="continuationSeparator" w:id="0">
    <w:p w:rsidR="005D2D31" w:rsidRDefault="005D2D31" w:rsidP="0046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786"/>
      <w:gridCol w:w="1580"/>
      <w:gridCol w:w="3183"/>
    </w:tblGrid>
    <w:tr w:rsidR="005D2D31" w:rsidTr="00DB33BC">
      <w:tc>
        <w:tcPr>
          <w:tcW w:w="4786" w:type="dxa"/>
          <w:vAlign w:val="center"/>
        </w:tcPr>
        <w:p w:rsidR="005D2D31" w:rsidRDefault="005D2D31" w:rsidP="00DB33BC">
          <w:pPr>
            <w:pStyle w:val="Footer"/>
            <w:jc w:val="center"/>
          </w:pPr>
          <w:r w:rsidRPr="00713FF6">
            <w:rPr>
              <w:rFonts w:ascii="Arial" w:eastAsia="Times New Roman" w:hAnsi="Arial" w:cs="Arial"/>
            </w:rPr>
            <w:t>Appendix 1 – Publically available Information</w:t>
          </w:r>
        </w:p>
      </w:tc>
      <w:tc>
        <w:tcPr>
          <w:tcW w:w="1580" w:type="dxa"/>
          <w:vAlign w:val="center"/>
        </w:tcPr>
        <w:p w:rsidR="005D2D31" w:rsidRDefault="005D2D31" w:rsidP="00DB33BC">
          <w:pPr>
            <w:jc w:val="center"/>
          </w:pPr>
          <w:r>
            <w:t>Version 5</w:t>
          </w:r>
        </w:p>
        <w:p w:rsidR="005D2D31" w:rsidRDefault="005D2D31" w:rsidP="00DB33BC">
          <w:pPr>
            <w:jc w:val="center"/>
          </w:pPr>
          <w:r>
            <w:t>22/6/2018</w:t>
          </w:r>
        </w:p>
        <w:p w:rsidR="005D2D31" w:rsidRDefault="005D2D31" w:rsidP="00DB33BC">
          <w:pPr>
            <w:pStyle w:val="Footer"/>
            <w:jc w:val="center"/>
          </w:pPr>
        </w:p>
      </w:tc>
      <w:tc>
        <w:tcPr>
          <w:tcW w:w="3183" w:type="dxa"/>
          <w:vAlign w:val="center"/>
        </w:tcPr>
        <w:p w:rsidR="005D2D31" w:rsidRDefault="005D2D31" w:rsidP="00DB33BC">
          <w:pPr>
            <w:pStyle w:val="Footer"/>
            <w:jc w:val="center"/>
          </w:pPr>
          <w:r>
            <w:t xml:space="preserve">Page </w:t>
          </w:r>
          <w:r>
            <w:rPr>
              <w:b/>
            </w:rPr>
            <w:fldChar w:fldCharType="begin"/>
          </w:r>
          <w:r>
            <w:rPr>
              <w:b/>
            </w:rPr>
            <w:instrText xml:space="preserve"> PAGE  \* Arabic  \* MERGEFORMAT </w:instrText>
          </w:r>
          <w:r>
            <w:rPr>
              <w:b/>
            </w:rPr>
            <w:fldChar w:fldCharType="separate"/>
          </w:r>
          <w:r w:rsidR="00AE51C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E51C1">
            <w:rPr>
              <w:b/>
              <w:noProof/>
            </w:rPr>
            <w:t>4</w:t>
          </w:r>
          <w:r>
            <w:rPr>
              <w:b/>
            </w:rPr>
            <w:fldChar w:fldCharType="end"/>
          </w:r>
        </w:p>
      </w:tc>
    </w:tr>
  </w:tbl>
  <w:p w:rsidR="005D2D31" w:rsidRDefault="005D2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31" w:rsidRDefault="005D2D31" w:rsidP="00463409">
      <w:pPr>
        <w:spacing w:after="0" w:line="240" w:lineRule="auto"/>
      </w:pPr>
      <w:r>
        <w:separator/>
      </w:r>
    </w:p>
  </w:footnote>
  <w:footnote w:type="continuationSeparator" w:id="0">
    <w:p w:rsidR="005D2D31" w:rsidRDefault="005D2D31" w:rsidP="00463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183"/>
      <w:gridCol w:w="3183"/>
    </w:tblGrid>
    <w:tr w:rsidR="00DB33BC" w:rsidTr="00DB33BC">
      <w:tc>
        <w:tcPr>
          <w:tcW w:w="3183" w:type="dxa"/>
        </w:tcPr>
        <w:p w:rsidR="00DB33BC" w:rsidRDefault="00DB33BC">
          <w:pPr>
            <w:pStyle w:val="Header"/>
          </w:pPr>
        </w:p>
      </w:tc>
      <w:tc>
        <w:tcPr>
          <w:tcW w:w="3183" w:type="dxa"/>
        </w:tcPr>
        <w:p w:rsidR="00DB33BC" w:rsidRDefault="00DB33BC">
          <w:pPr>
            <w:pStyle w:val="Header"/>
          </w:pPr>
        </w:p>
      </w:tc>
      <w:tc>
        <w:tcPr>
          <w:tcW w:w="3183" w:type="dxa"/>
        </w:tcPr>
        <w:p w:rsidR="00DB33BC" w:rsidRDefault="00DB33BC">
          <w:pPr>
            <w:pStyle w:val="Header"/>
          </w:pPr>
          <w:r>
            <w:rPr>
              <w:noProof/>
              <w:lang w:eastAsia="en-AU"/>
            </w:rPr>
            <w:drawing>
              <wp:inline distT="0" distB="0" distL="0" distR="0" wp14:anchorId="21BF71EF" wp14:editId="4882A3F5">
                <wp:extent cx="1700553"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01933" cy="648226"/>
                        </a:xfrm>
                        <a:prstGeom prst="rect">
                          <a:avLst/>
                        </a:prstGeom>
                      </pic:spPr>
                    </pic:pic>
                  </a:graphicData>
                </a:graphic>
              </wp:inline>
            </w:drawing>
          </w:r>
        </w:p>
      </w:tc>
    </w:tr>
  </w:tbl>
  <w:p w:rsidR="00DB33BC" w:rsidRDefault="00DB3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2D2A"/>
    <w:multiLevelType w:val="hybridMultilevel"/>
    <w:tmpl w:val="A902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53"/>
    <w:rsid w:val="002B21F1"/>
    <w:rsid w:val="00444939"/>
    <w:rsid w:val="00463409"/>
    <w:rsid w:val="004B485C"/>
    <w:rsid w:val="00506B8C"/>
    <w:rsid w:val="005A4829"/>
    <w:rsid w:val="005D2D31"/>
    <w:rsid w:val="00603692"/>
    <w:rsid w:val="00713FF6"/>
    <w:rsid w:val="007369A3"/>
    <w:rsid w:val="00AE51C1"/>
    <w:rsid w:val="00B93DB8"/>
    <w:rsid w:val="00BB2DDF"/>
    <w:rsid w:val="00DB33BC"/>
    <w:rsid w:val="00E35053"/>
    <w:rsid w:val="00E61520"/>
    <w:rsid w:val="00F51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53"/>
    <w:rPr>
      <w:rFonts w:ascii="Tahoma" w:hAnsi="Tahoma" w:cs="Tahoma"/>
      <w:sz w:val="16"/>
      <w:szCs w:val="16"/>
    </w:rPr>
  </w:style>
  <w:style w:type="paragraph" w:styleId="Header">
    <w:name w:val="header"/>
    <w:basedOn w:val="Normal"/>
    <w:link w:val="HeaderChar"/>
    <w:uiPriority w:val="99"/>
    <w:unhideWhenUsed/>
    <w:rsid w:val="0046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409"/>
  </w:style>
  <w:style w:type="paragraph" w:styleId="Footer">
    <w:name w:val="footer"/>
    <w:basedOn w:val="Normal"/>
    <w:link w:val="FooterChar"/>
    <w:uiPriority w:val="99"/>
    <w:unhideWhenUsed/>
    <w:rsid w:val="0046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409"/>
  </w:style>
  <w:style w:type="table" w:styleId="TableGrid">
    <w:name w:val="Table Grid"/>
    <w:basedOn w:val="TableNormal"/>
    <w:uiPriority w:val="59"/>
    <w:rsid w:val="005D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53"/>
    <w:rPr>
      <w:rFonts w:ascii="Tahoma" w:hAnsi="Tahoma" w:cs="Tahoma"/>
      <w:sz w:val="16"/>
      <w:szCs w:val="16"/>
    </w:rPr>
  </w:style>
  <w:style w:type="paragraph" w:styleId="Header">
    <w:name w:val="header"/>
    <w:basedOn w:val="Normal"/>
    <w:link w:val="HeaderChar"/>
    <w:uiPriority w:val="99"/>
    <w:unhideWhenUsed/>
    <w:rsid w:val="0046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409"/>
  </w:style>
  <w:style w:type="paragraph" w:styleId="Footer">
    <w:name w:val="footer"/>
    <w:basedOn w:val="Normal"/>
    <w:link w:val="FooterChar"/>
    <w:uiPriority w:val="99"/>
    <w:unhideWhenUsed/>
    <w:rsid w:val="0046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409"/>
  </w:style>
  <w:style w:type="table" w:styleId="TableGrid">
    <w:name w:val="Table Grid"/>
    <w:basedOn w:val="TableNormal"/>
    <w:uiPriority w:val="59"/>
    <w:rsid w:val="005D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Arrium</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Coates</dc:creator>
  <cp:lastModifiedBy>Jeff Coates</cp:lastModifiedBy>
  <cp:revision>4</cp:revision>
  <dcterms:created xsi:type="dcterms:W3CDTF">2018-06-22T04:58:00Z</dcterms:created>
  <dcterms:modified xsi:type="dcterms:W3CDTF">2018-06-22T05:00:00Z</dcterms:modified>
</cp:coreProperties>
</file>